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DF41F" w14:textId="77777777" w:rsidR="00171A8A" w:rsidRDefault="00171A8A"/>
    <w:p w14:paraId="50DB1264" w14:textId="77777777" w:rsidR="002876E2" w:rsidRDefault="002876E2" w:rsidP="002876E2">
      <w:pPr>
        <w:tabs>
          <w:tab w:val="left" w:pos="4785"/>
        </w:tabs>
      </w:pPr>
      <w:r>
        <w:tab/>
      </w:r>
    </w:p>
    <w:p w14:paraId="7F5D6AF4" w14:textId="77777777" w:rsidR="002876E2" w:rsidRDefault="002876E2" w:rsidP="002876E2">
      <w:pPr>
        <w:tabs>
          <w:tab w:val="left" w:pos="4785"/>
        </w:tabs>
      </w:pPr>
    </w:p>
    <w:p w14:paraId="3DDD10AC" w14:textId="77777777" w:rsidR="002876E2" w:rsidRDefault="002876E2" w:rsidP="002876E2">
      <w:pPr>
        <w:tabs>
          <w:tab w:val="left" w:pos="4785"/>
        </w:tabs>
      </w:pPr>
      <w:r>
        <w:rPr>
          <w:b/>
          <w:bCs/>
          <w:sz w:val="32"/>
          <w:szCs w:val="32"/>
        </w:rPr>
        <w:t>FUNCIONES DE LA EMPRESA MIXTA DE AGUAS DE LAS PALMAS</w:t>
      </w:r>
    </w:p>
    <w:p w14:paraId="64D55E0A" w14:textId="77777777" w:rsidR="002876E2" w:rsidRPr="00C44202" w:rsidRDefault="00C44202" w:rsidP="002876E2">
      <w:pPr>
        <w:tabs>
          <w:tab w:val="left" w:pos="4785"/>
        </w:tabs>
        <w:rPr>
          <w:b/>
          <w:bCs/>
        </w:rPr>
      </w:pPr>
      <w:r>
        <w:rPr>
          <w:b/>
          <w:bCs/>
        </w:rPr>
        <w:t>1</w:t>
      </w:r>
      <w:r w:rsidR="002876E2" w:rsidRPr="00C44202">
        <w:rPr>
          <w:b/>
          <w:bCs/>
        </w:rPr>
        <w:t>.- ACTIVIDAD DE LA EMPRESA MIXTA DE AGUAS DE LAS PALMAS, S.A.-</w:t>
      </w:r>
    </w:p>
    <w:p w14:paraId="68859161" w14:textId="77777777" w:rsidR="00C44202" w:rsidRPr="00521DCB" w:rsidRDefault="00C44202" w:rsidP="002876E2">
      <w:pPr>
        <w:tabs>
          <w:tab w:val="left" w:pos="4785"/>
        </w:tabs>
        <w:rPr>
          <w:b/>
          <w:bCs/>
        </w:rPr>
      </w:pPr>
      <w:r w:rsidRPr="00521DCB">
        <w:rPr>
          <w:b/>
          <w:bCs/>
        </w:rPr>
        <w:t>1.1 IDENTIFICACIÓN.</w:t>
      </w:r>
    </w:p>
    <w:p w14:paraId="672717B8" w14:textId="38B9B5EE" w:rsidR="00C44202" w:rsidRDefault="00C44202" w:rsidP="002876E2">
      <w:pPr>
        <w:tabs>
          <w:tab w:val="left" w:pos="4785"/>
        </w:tabs>
      </w:pPr>
      <w:r>
        <w:t>En la fecha de cierre del ejercicio económico, la empresa tiene como domicilio la Avda. Juan Carlos I, núm. 29 2º</w:t>
      </w:r>
      <w:r w:rsidR="00BF5B48">
        <w:t xml:space="preserve"> </w:t>
      </w:r>
      <w:r>
        <w:t xml:space="preserve">Planta. C.P. 35019, del T.M. de Las Palmas de Gran Canaria, siendo </w:t>
      </w:r>
      <w:proofErr w:type="gramStart"/>
      <w:r>
        <w:t>su  N.I.F.</w:t>
      </w:r>
      <w:proofErr w:type="gramEnd"/>
      <w:r>
        <w:t xml:space="preserve"> A-35009711. </w:t>
      </w:r>
    </w:p>
    <w:p w14:paraId="61C5D3BF" w14:textId="77777777" w:rsidR="00C44202" w:rsidRDefault="00C44202" w:rsidP="002876E2">
      <w:pPr>
        <w:tabs>
          <w:tab w:val="left" w:pos="4785"/>
        </w:tabs>
      </w:pPr>
      <w:r>
        <w:t>Está inscrita en el Registro Mercantil de Las Palmas</w:t>
      </w:r>
      <w:r w:rsidR="00521DCB">
        <w:t>, en el folio 46 del Tomo 430 General de Sociedades, número 265 de la Sección 3º, Hoja número 4566 e inscripción 1º.</w:t>
      </w:r>
    </w:p>
    <w:p w14:paraId="7D59216C" w14:textId="77777777" w:rsidR="00C44202" w:rsidRPr="0058105D" w:rsidRDefault="00521DCB" w:rsidP="002876E2">
      <w:pPr>
        <w:tabs>
          <w:tab w:val="left" w:pos="4785"/>
        </w:tabs>
        <w:rPr>
          <w:rFonts w:ascii="Calibri" w:hAnsi="Calibri"/>
          <w:b/>
          <w:bCs/>
        </w:rPr>
      </w:pPr>
      <w:r w:rsidRPr="0058105D">
        <w:rPr>
          <w:rFonts w:ascii="Calibri" w:hAnsi="Calibri"/>
          <w:b/>
          <w:bCs/>
        </w:rPr>
        <w:t>1.2 OBJETO SOCIAL.</w:t>
      </w:r>
    </w:p>
    <w:p w14:paraId="5F6420AC" w14:textId="77777777" w:rsidR="00C44202" w:rsidRPr="00866E32" w:rsidRDefault="00C44202" w:rsidP="002876E2">
      <w:pPr>
        <w:tabs>
          <w:tab w:val="left" w:pos="4785"/>
        </w:tabs>
        <w:rPr>
          <w:rFonts w:ascii="Calibri" w:hAnsi="Calibri"/>
        </w:rPr>
      </w:pPr>
      <w:r w:rsidRPr="00866E32">
        <w:rPr>
          <w:rFonts w:ascii="Calibri" w:hAnsi="Calibri"/>
        </w:rPr>
        <w:t xml:space="preserve">Constituye su objeto social: </w:t>
      </w:r>
    </w:p>
    <w:p w14:paraId="1F464AD1" w14:textId="51093538" w:rsidR="00C44202" w:rsidRPr="00866E32" w:rsidRDefault="00C44202" w:rsidP="00C44202">
      <w:pPr>
        <w:tabs>
          <w:tab w:val="left" w:pos="4785"/>
        </w:tabs>
        <w:jc w:val="both"/>
        <w:rPr>
          <w:rFonts w:ascii="Calibri" w:hAnsi="Calibri"/>
          <w:color w:val="000000" w:themeColor="text1"/>
        </w:rPr>
      </w:pPr>
      <w:r w:rsidRPr="00866E32">
        <w:rPr>
          <w:rFonts w:ascii="Calibri" w:hAnsi="Calibri"/>
          <w:color w:val="000000" w:themeColor="text1"/>
        </w:rPr>
        <w:t xml:space="preserve">a) La gestión de aquellos servicios públicos que, comprendidos en el ciclo integral del agua, son de titularidad y competencia del municipio de Las Palmas de Gran Canaria: captación y producción, tratamiento y distribución, evacuación por redes de alcantarillado y </w:t>
      </w:r>
      <w:r w:rsidR="00987A60" w:rsidRPr="00866E32">
        <w:rPr>
          <w:rFonts w:ascii="Calibri" w:hAnsi="Calibri"/>
          <w:color w:val="000000" w:themeColor="text1"/>
        </w:rPr>
        <w:t>depuración;</w:t>
      </w:r>
      <w:r w:rsidR="00987A60" w:rsidRPr="00866E32">
        <w:rPr>
          <w:rFonts w:ascii="Calibri" w:eastAsia="Calibri" w:hAnsi="Calibri" w:cs="Times New Roman"/>
          <w:color w:val="000000" w:themeColor="text1"/>
        </w:rPr>
        <w:t xml:space="preserve"> </w:t>
      </w:r>
      <w:r w:rsidR="00987A60" w:rsidRPr="003B7651">
        <w:rPr>
          <w:rFonts w:ascii="Calibri" w:eastAsia="Calibri" w:hAnsi="Calibri" w:cs="Times New Roman"/>
          <w:color w:val="000000" w:themeColor="text1"/>
        </w:rPr>
        <w:t>gestión</w:t>
      </w:r>
      <w:r w:rsidR="00332753" w:rsidRPr="003B7651">
        <w:rPr>
          <w:rFonts w:ascii="Calibri" w:eastAsia="Calibri" w:hAnsi="Calibri" w:cs="Times New Roman"/>
          <w:color w:val="000000" w:themeColor="text1"/>
        </w:rPr>
        <w:t xml:space="preserve"> de los residuos generados en</w:t>
      </w:r>
      <w:r w:rsidR="00332753" w:rsidRPr="00866E32">
        <w:rPr>
          <w:rFonts w:ascii="Calibri" w:eastAsia="Calibri" w:hAnsi="Calibri" w:cs="Times New Roman"/>
          <w:color w:val="000000" w:themeColor="text1"/>
        </w:rPr>
        <w:t xml:space="preserve"> </w:t>
      </w:r>
      <w:r w:rsidR="00332753" w:rsidRPr="003B7651">
        <w:rPr>
          <w:rFonts w:ascii="Calibri" w:eastAsia="Calibri" w:hAnsi="Calibri" w:cs="Times New Roman"/>
          <w:color w:val="000000" w:themeColor="text1"/>
        </w:rPr>
        <w:t>las actividades de abastecimiento, saneamiento y depuración y la gestión de residuos no peligrosos</w:t>
      </w:r>
      <w:r w:rsidR="00332753" w:rsidRPr="00866E32">
        <w:rPr>
          <w:rFonts w:ascii="Calibri" w:eastAsia="Calibri" w:hAnsi="Calibri" w:cs="Times New Roman"/>
          <w:color w:val="000000" w:themeColor="text1"/>
        </w:rPr>
        <w:t>.</w:t>
      </w:r>
      <w:r w:rsidR="00A40A26" w:rsidRPr="00866E32">
        <w:rPr>
          <w:color w:val="FF0000"/>
        </w:rPr>
        <w:t xml:space="preserve"> </w:t>
      </w:r>
      <w:r w:rsidR="00A40A26" w:rsidRPr="00866E32">
        <w:rPr>
          <w:color w:val="000000" w:themeColor="text1"/>
        </w:rPr>
        <w:t>(Código LER 19 07 03).</w:t>
      </w:r>
    </w:p>
    <w:p w14:paraId="66B0EFB7" w14:textId="77777777" w:rsidR="00C44202" w:rsidRPr="0058105D" w:rsidRDefault="00C44202" w:rsidP="00C44202">
      <w:pPr>
        <w:tabs>
          <w:tab w:val="left" w:pos="4785"/>
        </w:tabs>
        <w:jc w:val="both"/>
        <w:rPr>
          <w:rFonts w:ascii="Calibri" w:hAnsi="Calibri"/>
          <w:color w:val="000000" w:themeColor="text1"/>
        </w:rPr>
      </w:pPr>
      <w:r w:rsidRPr="0058105D">
        <w:rPr>
          <w:rFonts w:ascii="Calibri" w:hAnsi="Calibri"/>
          <w:color w:val="000000" w:themeColor="text1"/>
        </w:rPr>
        <w:t xml:space="preserve"> b) La realización de las indicadas actividades que le puedan ser contratadas por cualesquiera entidades de naturaleza pública o privada, de conformidad con la normativa administrativa o mercantil que fuere aplicable a cada contrato, pudiendo, para ello, tomar parte en cualquier tipo de licitación pública o privada; </w:t>
      </w:r>
    </w:p>
    <w:p w14:paraId="2CE93DBC" w14:textId="77777777" w:rsidR="00C44202" w:rsidRPr="0058105D" w:rsidRDefault="00C44202" w:rsidP="00C44202">
      <w:pPr>
        <w:tabs>
          <w:tab w:val="left" w:pos="4785"/>
        </w:tabs>
        <w:jc w:val="both"/>
        <w:rPr>
          <w:rFonts w:ascii="Calibri" w:hAnsi="Calibri"/>
          <w:color w:val="000000" w:themeColor="text1"/>
        </w:rPr>
      </w:pPr>
      <w:r w:rsidRPr="0058105D">
        <w:rPr>
          <w:rFonts w:ascii="Calibri" w:hAnsi="Calibri"/>
          <w:color w:val="000000" w:themeColor="text1"/>
        </w:rPr>
        <w:t xml:space="preserve">c) La realización de las actividades propias de una contratista de obras y ejecución, mediante contrato o subcontrato con toda clase de personas naturales o jurídicas, públicas o privadas, de toda clase de obras hidráulicas, tales como el proyecto y ejecución de tendidos y extensiones de tuberías y conducciones, construcción de depósitos y estaciones de tratamiento, así como de plantas depuradoras, desaladoras o potabilizadoras, estaciones de impulsión y cualesquiera otras instalaciones de tal carácter, incluso las de sus elementos eléctricos y mecánicos </w:t>
      </w:r>
    </w:p>
    <w:p w14:paraId="0AF2319D" w14:textId="77777777" w:rsidR="00C44202" w:rsidRPr="0058105D" w:rsidRDefault="00C44202" w:rsidP="00C44202">
      <w:pPr>
        <w:tabs>
          <w:tab w:val="left" w:pos="4785"/>
        </w:tabs>
        <w:jc w:val="both"/>
        <w:rPr>
          <w:rFonts w:ascii="Calibri" w:hAnsi="Calibri"/>
          <w:color w:val="000000" w:themeColor="text1"/>
        </w:rPr>
      </w:pPr>
      <w:r w:rsidRPr="0058105D">
        <w:rPr>
          <w:rFonts w:ascii="Calibri" w:hAnsi="Calibri"/>
          <w:color w:val="000000" w:themeColor="text1"/>
        </w:rPr>
        <w:t xml:space="preserve">d) La explotación industrial de instalaciones productoras o generadoras de energía eléctrica como las plantas desaladoras de carácter dual y aquellas dirigidas a la obtención de energías limpias o alternativas, ya sean de origen eólico, fotovoltaico o cualquier otro al uso, tanto para el autoconsumo como para su venta y transferencia a entidades distribuidoras, comercializadoras u operadoras del sistema eléctrico. </w:t>
      </w:r>
    </w:p>
    <w:p w14:paraId="0865FF1F" w14:textId="77777777" w:rsidR="00C44202" w:rsidRPr="0058105D" w:rsidRDefault="00C44202" w:rsidP="00C44202">
      <w:pPr>
        <w:tabs>
          <w:tab w:val="left" w:pos="4785"/>
        </w:tabs>
        <w:jc w:val="both"/>
        <w:rPr>
          <w:rFonts w:ascii="Calibri" w:hAnsi="Calibri"/>
          <w:color w:val="000000" w:themeColor="text1"/>
        </w:rPr>
      </w:pPr>
      <w:r w:rsidRPr="0058105D">
        <w:rPr>
          <w:rFonts w:ascii="Calibri" w:hAnsi="Calibri"/>
          <w:color w:val="000000" w:themeColor="text1"/>
        </w:rPr>
        <w:t xml:space="preserve">e) Las actividades de control de calidad, laboratorio y análisis fisicoquímicos y bacteriológicos de las aguas, cualquiera que sea el origen y destino de </w:t>
      </w:r>
      <w:proofErr w:type="gramStart"/>
      <w:r w:rsidRPr="0058105D">
        <w:rPr>
          <w:rFonts w:ascii="Calibri" w:hAnsi="Calibri"/>
          <w:color w:val="000000" w:themeColor="text1"/>
        </w:rPr>
        <w:t>las mismas</w:t>
      </w:r>
      <w:proofErr w:type="gramEnd"/>
      <w:r w:rsidRPr="0058105D">
        <w:rPr>
          <w:rFonts w:ascii="Calibri" w:hAnsi="Calibri"/>
          <w:color w:val="000000" w:themeColor="text1"/>
        </w:rPr>
        <w:t xml:space="preserve">. </w:t>
      </w:r>
    </w:p>
    <w:p w14:paraId="79E2E720" w14:textId="55A55E54" w:rsidR="003B7651" w:rsidRPr="0058105D" w:rsidRDefault="003B7651" w:rsidP="0058105D">
      <w:pPr>
        <w:spacing w:after="100" w:line="240" w:lineRule="auto"/>
        <w:jc w:val="both"/>
        <w:rPr>
          <w:rFonts w:ascii="Calibri" w:eastAsia="Calibri" w:hAnsi="Calibri" w:cs="Times New Roman"/>
          <w:color w:val="000000" w:themeColor="text1"/>
          <w:szCs w:val="18"/>
        </w:rPr>
      </w:pPr>
      <w:r w:rsidRPr="0058105D">
        <w:rPr>
          <w:rFonts w:ascii="Calibri" w:eastAsia="Calibri" w:hAnsi="Calibri" w:cs="Times New Roman"/>
          <w:color w:val="000000" w:themeColor="text1"/>
          <w:szCs w:val="18"/>
        </w:rPr>
        <w:t>La sociedad podrá realizar indirectamente las anteriores actividades comprendidas en su objeto social, mediante la constitución de otras Sociedades o la participación en Sociedades ya constituidas, pudiendo, para ello, suscribir o por cualquier otro título adquirir y enajenar acciones y participaciones sociales.</w:t>
      </w:r>
    </w:p>
    <w:p w14:paraId="21CBBEFB" w14:textId="77777777" w:rsidR="003B7651" w:rsidRPr="0058105D" w:rsidRDefault="003B7651" w:rsidP="00C44202">
      <w:pPr>
        <w:tabs>
          <w:tab w:val="left" w:pos="4785"/>
        </w:tabs>
        <w:jc w:val="both"/>
        <w:rPr>
          <w:color w:val="000000" w:themeColor="text1"/>
        </w:rPr>
      </w:pPr>
    </w:p>
    <w:p w14:paraId="55133800" w14:textId="77777777" w:rsidR="00866E32" w:rsidRDefault="00866E32" w:rsidP="002876E2">
      <w:pPr>
        <w:tabs>
          <w:tab w:val="left" w:pos="4785"/>
        </w:tabs>
        <w:rPr>
          <w:b/>
          <w:bCs/>
        </w:rPr>
      </w:pPr>
    </w:p>
    <w:p w14:paraId="1D4E81D4" w14:textId="77777777" w:rsidR="00866E32" w:rsidRDefault="00866E32" w:rsidP="002876E2">
      <w:pPr>
        <w:tabs>
          <w:tab w:val="left" w:pos="4785"/>
        </w:tabs>
        <w:rPr>
          <w:b/>
          <w:bCs/>
        </w:rPr>
      </w:pPr>
    </w:p>
    <w:p w14:paraId="4BF90CBF" w14:textId="5D583DFA" w:rsidR="002876E2" w:rsidRPr="00521DCB" w:rsidRDefault="00521DCB" w:rsidP="002876E2">
      <w:pPr>
        <w:tabs>
          <w:tab w:val="left" w:pos="4785"/>
        </w:tabs>
        <w:rPr>
          <w:b/>
          <w:bCs/>
        </w:rPr>
      </w:pPr>
      <w:r w:rsidRPr="00521DCB">
        <w:rPr>
          <w:b/>
          <w:bCs/>
        </w:rPr>
        <w:t xml:space="preserve">1.3 ACTIVIDAD DE LA EMPRESA. – </w:t>
      </w:r>
    </w:p>
    <w:p w14:paraId="2C6AD5FA" w14:textId="7786685B" w:rsidR="00521DCB" w:rsidRDefault="00521DCB" w:rsidP="002876E2">
      <w:pPr>
        <w:tabs>
          <w:tab w:val="left" w:pos="4785"/>
        </w:tabs>
      </w:pPr>
      <w:r>
        <w:t xml:space="preserve">Durante el ejercicio al que se refiere la presente memoria, así como los anteriores, la actividad principal de la empresa es la prestación del ciclo integral del agua de la Ciudad de Las Palmas, así como </w:t>
      </w:r>
      <w:r w:rsidR="000A2DB3">
        <w:t>la</w:t>
      </w:r>
      <w:r>
        <w:t xml:space="preserve"> prestación del servicio de suministro de agua en el municipio de la Villa de Santa Brígida y la prestación del suministro de agua a las instalaciones fijas del Puerto de Las Palmas y a los buques y gabarras. </w:t>
      </w:r>
    </w:p>
    <w:p w14:paraId="19A71494" w14:textId="77777777" w:rsidR="00987A60" w:rsidRDefault="00987A60" w:rsidP="006B2E03">
      <w:pPr>
        <w:tabs>
          <w:tab w:val="left" w:pos="4785"/>
        </w:tabs>
        <w:rPr>
          <w:b/>
          <w:bCs/>
        </w:rPr>
      </w:pPr>
    </w:p>
    <w:p w14:paraId="51332624" w14:textId="4AD99E9F" w:rsidR="006B2E03" w:rsidRPr="00B646F4" w:rsidRDefault="006B2E03" w:rsidP="006B2E03">
      <w:pPr>
        <w:tabs>
          <w:tab w:val="left" w:pos="4785"/>
        </w:tabs>
        <w:rPr>
          <w:b/>
          <w:bCs/>
        </w:rPr>
      </w:pPr>
      <w:r w:rsidRPr="00B646F4">
        <w:rPr>
          <w:b/>
          <w:bCs/>
        </w:rPr>
        <w:t>2.- EMPLEADOS DE LA COMPAÑÍA.</w:t>
      </w:r>
    </w:p>
    <w:p w14:paraId="5354965A" w14:textId="57CD4BDE" w:rsidR="00356904" w:rsidRPr="00503C1D" w:rsidRDefault="00CE0DFE" w:rsidP="006B2E03">
      <w:pPr>
        <w:tabs>
          <w:tab w:val="left" w:pos="4785"/>
        </w:tabs>
        <w:rPr>
          <w:b/>
          <w:bCs/>
        </w:rPr>
      </w:pPr>
      <w:r>
        <w:t xml:space="preserve">Actualmente la Compañía cuenta con un total de </w:t>
      </w:r>
      <w:r w:rsidR="00356904">
        <w:t>2</w:t>
      </w:r>
      <w:r w:rsidR="00B84B50">
        <w:t>6</w:t>
      </w:r>
      <w:r w:rsidR="00606AAC">
        <w:t>6</w:t>
      </w:r>
      <w:r w:rsidR="00356904">
        <w:t xml:space="preserve"> empleados, repartidos entre los siguientes </w:t>
      </w:r>
      <w:r w:rsidR="00B646F4" w:rsidRPr="00B646F4">
        <w:rPr>
          <w:b/>
          <w:bCs/>
        </w:rPr>
        <w:t>c</w:t>
      </w:r>
      <w:r w:rsidR="00356904" w:rsidRPr="00B646F4">
        <w:rPr>
          <w:b/>
          <w:bCs/>
        </w:rPr>
        <w:t>entros de trabajo:</w:t>
      </w:r>
    </w:p>
    <w:tbl>
      <w:tblPr>
        <w:tblW w:w="5700" w:type="dxa"/>
        <w:tblCellMar>
          <w:left w:w="0" w:type="dxa"/>
          <w:right w:w="0" w:type="dxa"/>
        </w:tblCellMar>
        <w:tblLook w:val="04A0" w:firstRow="1" w:lastRow="0" w:firstColumn="1" w:lastColumn="0" w:noHBand="0" w:noVBand="1"/>
      </w:tblPr>
      <w:tblGrid>
        <w:gridCol w:w="3760"/>
        <w:gridCol w:w="1940"/>
      </w:tblGrid>
      <w:tr w:rsidR="00426749" w14:paraId="03B3ADE1" w14:textId="77777777" w:rsidTr="00426749">
        <w:trPr>
          <w:trHeight w:val="255"/>
        </w:trPr>
        <w:tc>
          <w:tcPr>
            <w:tcW w:w="3760" w:type="dxa"/>
            <w:tcBorders>
              <w:top w:val="single" w:sz="8" w:space="0" w:color="auto"/>
              <w:left w:val="single" w:sz="8" w:space="0" w:color="auto"/>
              <w:bottom w:val="single" w:sz="8" w:space="0" w:color="auto"/>
              <w:right w:val="single" w:sz="8" w:space="0" w:color="auto"/>
            </w:tcBorders>
            <w:shd w:val="clear" w:color="auto" w:fill="E2EFDA"/>
            <w:noWrap/>
            <w:tcMar>
              <w:top w:w="0" w:type="dxa"/>
              <w:left w:w="70" w:type="dxa"/>
              <w:bottom w:w="0" w:type="dxa"/>
              <w:right w:w="70" w:type="dxa"/>
            </w:tcMar>
            <w:vAlign w:val="center"/>
            <w:hideMark/>
          </w:tcPr>
          <w:p w14:paraId="046276C9" w14:textId="77777777" w:rsidR="00426749" w:rsidRDefault="00426749">
            <w:pPr>
              <w:spacing w:after="0" w:line="240" w:lineRule="auto"/>
              <w:jc w:val="center"/>
              <w:rPr>
                <w:rFonts w:ascii="Arial" w:hAnsi="Arial" w:cs="Arial"/>
                <w:b/>
                <w:bCs/>
                <w:sz w:val="20"/>
                <w:szCs w:val="20"/>
                <w:lang w:eastAsia="es-ES"/>
              </w:rPr>
            </w:pPr>
            <w:r>
              <w:rPr>
                <w:rFonts w:ascii="Arial" w:hAnsi="Arial" w:cs="Arial"/>
                <w:b/>
                <w:bCs/>
                <w:color w:val="000000"/>
                <w:sz w:val="20"/>
                <w:szCs w:val="20"/>
                <w:lang w:eastAsia="es-ES"/>
                <w14:ligatures w14:val="standardContextual"/>
              </w:rPr>
              <w:t>CENTROS DE TRABAJO</w:t>
            </w:r>
          </w:p>
        </w:tc>
        <w:tc>
          <w:tcPr>
            <w:tcW w:w="1940" w:type="dxa"/>
            <w:tcBorders>
              <w:top w:val="single" w:sz="8" w:space="0" w:color="auto"/>
              <w:left w:val="nil"/>
              <w:bottom w:val="single" w:sz="8" w:space="0" w:color="auto"/>
              <w:right w:val="single" w:sz="8" w:space="0" w:color="auto"/>
            </w:tcBorders>
            <w:shd w:val="clear" w:color="auto" w:fill="E2EFDA"/>
            <w:noWrap/>
            <w:tcMar>
              <w:top w:w="0" w:type="dxa"/>
              <w:left w:w="70" w:type="dxa"/>
              <w:bottom w:w="0" w:type="dxa"/>
              <w:right w:w="70" w:type="dxa"/>
            </w:tcMar>
            <w:vAlign w:val="center"/>
            <w:hideMark/>
          </w:tcPr>
          <w:p w14:paraId="5073C0AE" w14:textId="77777777" w:rsidR="00426749" w:rsidRDefault="00426749">
            <w:pPr>
              <w:spacing w:after="0" w:line="240" w:lineRule="auto"/>
              <w:jc w:val="center"/>
              <w:rPr>
                <w:rFonts w:ascii="Arial" w:hAnsi="Arial" w:cs="Arial"/>
                <w:b/>
                <w:bCs/>
                <w:sz w:val="20"/>
                <w:szCs w:val="20"/>
                <w:lang w:eastAsia="es-ES"/>
                <w14:ligatures w14:val="standardContextual"/>
              </w:rPr>
            </w:pPr>
            <w:r>
              <w:rPr>
                <w:rFonts w:ascii="Arial" w:hAnsi="Arial" w:cs="Arial"/>
                <w:b/>
                <w:bCs/>
                <w:color w:val="000000"/>
                <w:sz w:val="20"/>
                <w:szCs w:val="20"/>
                <w:lang w:eastAsia="es-ES"/>
                <w14:ligatures w14:val="standardContextual"/>
              </w:rPr>
              <w:t>TRABAJADORES</w:t>
            </w:r>
          </w:p>
        </w:tc>
      </w:tr>
      <w:tr w:rsidR="00426749" w14:paraId="29E03716" w14:textId="77777777" w:rsidTr="00426749">
        <w:trPr>
          <w:trHeight w:val="255"/>
        </w:trPr>
        <w:tc>
          <w:tcPr>
            <w:tcW w:w="3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223BF9"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Desaladora y Laboratorio</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6391E0"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45</w:t>
            </w:r>
          </w:p>
        </w:tc>
      </w:tr>
      <w:tr w:rsidR="00426749" w14:paraId="00E52A1C" w14:textId="77777777" w:rsidTr="00426749">
        <w:trPr>
          <w:trHeight w:val="255"/>
        </w:trPr>
        <w:tc>
          <w:tcPr>
            <w:tcW w:w="3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AE1273"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Depuración</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0675E2"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33</w:t>
            </w:r>
          </w:p>
        </w:tc>
      </w:tr>
      <w:tr w:rsidR="00426749" w14:paraId="1CC0A3C7" w14:textId="77777777" w:rsidTr="00426749">
        <w:trPr>
          <w:trHeight w:val="255"/>
        </w:trPr>
        <w:tc>
          <w:tcPr>
            <w:tcW w:w="3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8D20D4"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Las Brujas</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3148BF"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108</w:t>
            </w:r>
          </w:p>
        </w:tc>
      </w:tr>
      <w:tr w:rsidR="00426749" w14:paraId="6ED658A0" w14:textId="77777777" w:rsidTr="00426749">
        <w:trPr>
          <w:trHeight w:val="255"/>
        </w:trPr>
        <w:tc>
          <w:tcPr>
            <w:tcW w:w="3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57BB59"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Tomás Morales</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BB05B2"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9</w:t>
            </w:r>
          </w:p>
        </w:tc>
      </w:tr>
      <w:tr w:rsidR="00426749" w14:paraId="51884C08" w14:textId="77777777" w:rsidTr="00426749">
        <w:trPr>
          <w:trHeight w:val="255"/>
        </w:trPr>
        <w:tc>
          <w:tcPr>
            <w:tcW w:w="3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12DF99"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Las Ramblas</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18B298"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59</w:t>
            </w:r>
          </w:p>
        </w:tc>
      </w:tr>
      <w:tr w:rsidR="00426749" w14:paraId="24B77DAE" w14:textId="77777777" w:rsidTr="00426749">
        <w:trPr>
          <w:trHeight w:val="255"/>
        </w:trPr>
        <w:tc>
          <w:tcPr>
            <w:tcW w:w="3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D9AE70"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Santa Brígida</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05EF3A" w14:textId="77777777" w:rsidR="00426749" w:rsidRDefault="00426749">
            <w:pPr>
              <w:spacing w:after="0" w:line="240" w:lineRule="auto"/>
              <w:jc w:val="center"/>
              <w:rPr>
                <w:rFonts w:ascii="Arial" w:hAnsi="Arial" w:cs="Arial"/>
                <w:sz w:val="20"/>
                <w:szCs w:val="20"/>
                <w:lang w:eastAsia="es-ES"/>
                <w14:ligatures w14:val="standardContextual"/>
              </w:rPr>
            </w:pPr>
            <w:r>
              <w:rPr>
                <w:rFonts w:ascii="Arial" w:hAnsi="Arial" w:cs="Arial"/>
                <w:sz w:val="20"/>
                <w:szCs w:val="20"/>
                <w:lang w:eastAsia="es-ES"/>
                <w14:ligatures w14:val="standardContextual"/>
              </w:rPr>
              <w:t>12</w:t>
            </w:r>
          </w:p>
        </w:tc>
      </w:tr>
      <w:tr w:rsidR="00426749" w14:paraId="188FEF20" w14:textId="77777777" w:rsidTr="00426749">
        <w:trPr>
          <w:trHeight w:val="255"/>
        </w:trPr>
        <w:tc>
          <w:tcPr>
            <w:tcW w:w="3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5D4E7C" w14:textId="77777777" w:rsidR="00426749" w:rsidRDefault="00426749">
            <w:pPr>
              <w:spacing w:after="0" w:line="240" w:lineRule="auto"/>
              <w:jc w:val="center"/>
              <w:rPr>
                <w:rFonts w:ascii="Arial" w:hAnsi="Arial" w:cs="Arial"/>
                <w:b/>
                <w:bCs/>
                <w:sz w:val="20"/>
                <w:szCs w:val="20"/>
                <w:lang w:eastAsia="es-ES"/>
                <w14:ligatures w14:val="standardContextual"/>
              </w:rPr>
            </w:pPr>
            <w:r>
              <w:rPr>
                <w:rFonts w:ascii="Arial" w:hAnsi="Arial" w:cs="Arial"/>
                <w:b/>
                <w:bCs/>
                <w:sz w:val="20"/>
                <w:szCs w:val="20"/>
                <w:lang w:eastAsia="es-ES"/>
                <w14:ligatures w14:val="standardContextual"/>
              </w:rPr>
              <w:t>TOTAL</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98AF75" w14:textId="77777777" w:rsidR="00426749" w:rsidRDefault="00426749">
            <w:pPr>
              <w:spacing w:after="0" w:line="240" w:lineRule="auto"/>
              <w:jc w:val="center"/>
              <w:rPr>
                <w:rFonts w:ascii="Arial" w:hAnsi="Arial" w:cs="Arial"/>
                <w:b/>
                <w:bCs/>
                <w:sz w:val="20"/>
                <w:szCs w:val="20"/>
                <w:lang w:eastAsia="es-ES"/>
                <w14:ligatures w14:val="standardContextual"/>
              </w:rPr>
            </w:pPr>
            <w:r>
              <w:rPr>
                <w:rFonts w:ascii="Arial" w:hAnsi="Arial" w:cs="Arial"/>
                <w:b/>
                <w:bCs/>
                <w:sz w:val="20"/>
                <w:szCs w:val="20"/>
                <w:lang w:eastAsia="es-ES"/>
                <w14:ligatures w14:val="standardContextual"/>
              </w:rPr>
              <w:t>266</w:t>
            </w:r>
          </w:p>
        </w:tc>
      </w:tr>
    </w:tbl>
    <w:p w14:paraId="48EB5F75" w14:textId="77777777" w:rsidR="00426749" w:rsidRDefault="00426749" w:rsidP="006B2E03">
      <w:pPr>
        <w:tabs>
          <w:tab w:val="left" w:pos="4785"/>
        </w:tabs>
      </w:pPr>
    </w:p>
    <w:p w14:paraId="10E06C95" w14:textId="5B572B38" w:rsidR="002B6BB3" w:rsidRPr="00987A60" w:rsidRDefault="00C41E3D" w:rsidP="00987A60">
      <w:pPr>
        <w:tabs>
          <w:tab w:val="left" w:pos="4785"/>
        </w:tabs>
        <w:rPr>
          <w:b/>
          <w:bCs/>
        </w:rPr>
      </w:pPr>
      <w:r>
        <w:rPr>
          <w:b/>
          <w:bCs/>
        </w:rPr>
        <w:t>3</w:t>
      </w:r>
      <w:r w:rsidR="005301A9" w:rsidRPr="002B6BB3">
        <w:rPr>
          <w:b/>
          <w:bCs/>
        </w:rPr>
        <w:t>.-</w:t>
      </w:r>
      <w:r w:rsidR="00973C9A" w:rsidRPr="002B6BB3">
        <w:rPr>
          <w:b/>
          <w:bCs/>
        </w:rPr>
        <w:t xml:space="preserve"> Información sobre el periodo medio de pago a proveedores</w:t>
      </w:r>
      <w:r w:rsidR="00973C9A" w:rsidRPr="00987A60">
        <w:rPr>
          <w:b/>
          <w:bCs/>
        </w:rPr>
        <w:t>.</w:t>
      </w:r>
    </w:p>
    <w:p w14:paraId="0F9DB90E" w14:textId="13A4E6A4" w:rsidR="00987A60" w:rsidRDefault="00973C9A" w:rsidP="002B6BB3">
      <w:pPr>
        <w:tabs>
          <w:tab w:val="left" w:pos="4785"/>
        </w:tabs>
        <w:jc w:val="both"/>
      </w:pPr>
      <w:r>
        <w:t xml:space="preserve"> D.A 3ª "Deber de información" Ley 15/2010, de 5 de julio</w:t>
      </w:r>
      <w:r w:rsidR="00987A60">
        <w:t>. A</w:t>
      </w:r>
      <w:r>
        <w:t xml:space="preserve"> continuación, se detalla el periodo medio de pago a los proveedores (plazo que transcurre</w:t>
      </w:r>
      <w:r w:rsidR="00987A60">
        <w:t xml:space="preserve"> en días</w:t>
      </w:r>
      <w:r>
        <w:t xml:space="preserve"> desde la entrega de los bienes o la prestación de los servicios a cargo del proveedor y el pago material de la operación)</w:t>
      </w:r>
      <w:r w:rsidR="00987A60">
        <w:t>.</w:t>
      </w:r>
    </w:p>
    <w:p w14:paraId="47157884" w14:textId="3BE9B3A6" w:rsidR="009E58AD" w:rsidRDefault="00973C9A" w:rsidP="002B6BB3">
      <w:pPr>
        <w:tabs>
          <w:tab w:val="left" w:pos="4785"/>
        </w:tabs>
        <w:jc w:val="both"/>
      </w:pPr>
      <w:r>
        <w:t xml:space="preserve"> </w:t>
      </w:r>
    </w:p>
    <w:tbl>
      <w:tblPr>
        <w:tblW w:w="9133"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8"/>
        <w:gridCol w:w="1565"/>
        <w:gridCol w:w="1492"/>
        <w:gridCol w:w="1490"/>
        <w:gridCol w:w="1454"/>
        <w:gridCol w:w="1304"/>
      </w:tblGrid>
      <w:tr w:rsidR="005E03C5" w14:paraId="612630DA" w14:textId="4A0E6F98" w:rsidTr="00987A60">
        <w:trPr>
          <w:trHeight w:val="629"/>
        </w:trPr>
        <w:tc>
          <w:tcPr>
            <w:tcW w:w="1828" w:type="dxa"/>
          </w:tcPr>
          <w:p w14:paraId="34C0BD2D" w14:textId="3F3465F1" w:rsidR="00987A60" w:rsidRPr="00987A60" w:rsidRDefault="00987A60" w:rsidP="00183147">
            <w:pPr>
              <w:tabs>
                <w:tab w:val="left" w:pos="4785"/>
              </w:tabs>
              <w:jc w:val="center"/>
              <w:rPr>
                <w:b/>
                <w:bCs/>
                <w:sz w:val="20"/>
                <w:szCs w:val="20"/>
              </w:rPr>
            </w:pPr>
            <w:r>
              <w:rPr>
                <w:b/>
                <w:bCs/>
                <w:sz w:val="20"/>
                <w:szCs w:val="20"/>
              </w:rPr>
              <w:t>Periodo medio de días de abono a proveedores.</w:t>
            </w:r>
          </w:p>
        </w:tc>
        <w:tc>
          <w:tcPr>
            <w:tcW w:w="1565" w:type="dxa"/>
          </w:tcPr>
          <w:p w14:paraId="2C64898D" w14:textId="6B074D34" w:rsidR="005E03C5" w:rsidRPr="00987A60" w:rsidRDefault="005E03C5" w:rsidP="00183147">
            <w:pPr>
              <w:tabs>
                <w:tab w:val="left" w:pos="4785"/>
              </w:tabs>
              <w:jc w:val="center"/>
              <w:rPr>
                <w:b/>
                <w:bCs/>
                <w:sz w:val="20"/>
                <w:szCs w:val="20"/>
              </w:rPr>
            </w:pPr>
            <w:r w:rsidRPr="00987A60">
              <w:rPr>
                <w:b/>
                <w:bCs/>
                <w:sz w:val="20"/>
                <w:szCs w:val="20"/>
              </w:rPr>
              <w:t>2019</w:t>
            </w:r>
          </w:p>
        </w:tc>
        <w:tc>
          <w:tcPr>
            <w:tcW w:w="1492" w:type="dxa"/>
          </w:tcPr>
          <w:p w14:paraId="78C3B975" w14:textId="1229B7F5" w:rsidR="005E03C5" w:rsidRPr="00987A60" w:rsidRDefault="005E03C5" w:rsidP="00183147">
            <w:pPr>
              <w:tabs>
                <w:tab w:val="left" w:pos="4785"/>
              </w:tabs>
              <w:jc w:val="center"/>
              <w:rPr>
                <w:b/>
                <w:bCs/>
                <w:sz w:val="20"/>
                <w:szCs w:val="20"/>
              </w:rPr>
            </w:pPr>
            <w:r w:rsidRPr="00987A60">
              <w:rPr>
                <w:b/>
                <w:bCs/>
                <w:sz w:val="20"/>
                <w:szCs w:val="20"/>
              </w:rPr>
              <w:t>2020</w:t>
            </w:r>
          </w:p>
        </w:tc>
        <w:tc>
          <w:tcPr>
            <w:tcW w:w="1490" w:type="dxa"/>
          </w:tcPr>
          <w:p w14:paraId="74DC3EA4" w14:textId="6582F36A" w:rsidR="005E03C5" w:rsidRPr="00987A60" w:rsidRDefault="005E03C5" w:rsidP="00183147">
            <w:pPr>
              <w:tabs>
                <w:tab w:val="left" w:pos="4785"/>
              </w:tabs>
              <w:spacing w:after="0"/>
              <w:jc w:val="center"/>
              <w:rPr>
                <w:b/>
                <w:bCs/>
                <w:sz w:val="20"/>
                <w:szCs w:val="20"/>
              </w:rPr>
            </w:pPr>
            <w:r w:rsidRPr="00987A60">
              <w:rPr>
                <w:b/>
                <w:bCs/>
                <w:sz w:val="20"/>
                <w:szCs w:val="20"/>
              </w:rPr>
              <w:t>2021</w:t>
            </w:r>
          </w:p>
        </w:tc>
        <w:tc>
          <w:tcPr>
            <w:tcW w:w="1454" w:type="dxa"/>
          </w:tcPr>
          <w:p w14:paraId="4B656896" w14:textId="6BC1194C" w:rsidR="005E03C5" w:rsidRPr="00987A60" w:rsidRDefault="005E03C5" w:rsidP="00183147">
            <w:pPr>
              <w:tabs>
                <w:tab w:val="left" w:pos="4785"/>
              </w:tabs>
              <w:spacing w:after="0"/>
              <w:jc w:val="center"/>
              <w:rPr>
                <w:b/>
                <w:bCs/>
                <w:sz w:val="20"/>
                <w:szCs w:val="20"/>
              </w:rPr>
            </w:pPr>
            <w:r w:rsidRPr="00987A60">
              <w:rPr>
                <w:b/>
                <w:bCs/>
                <w:sz w:val="20"/>
                <w:szCs w:val="20"/>
              </w:rPr>
              <w:t>2022</w:t>
            </w:r>
          </w:p>
        </w:tc>
        <w:tc>
          <w:tcPr>
            <w:tcW w:w="1304" w:type="dxa"/>
          </w:tcPr>
          <w:p w14:paraId="4F5E8D5B" w14:textId="7961B811" w:rsidR="005E03C5" w:rsidRPr="00987A60" w:rsidRDefault="009E62B4" w:rsidP="00183147">
            <w:pPr>
              <w:tabs>
                <w:tab w:val="left" w:pos="4785"/>
              </w:tabs>
              <w:spacing w:after="0"/>
              <w:jc w:val="center"/>
              <w:rPr>
                <w:b/>
                <w:bCs/>
                <w:sz w:val="20"/>
                <w:szCs w:val="20"/>
              </w:rPr>
            </w:pPr>
            <w:r w:rsidRPr="00987A60">
              <w:rPr>
                <w:b/>
                <w:bCs/>
                <w:sz w:val="20"/>
                <w:szCs w:val="20"/>
              </w:rPr>
              <w:t>2023</w:t>
            </w:r>
          </w:p>
          <w:p w14:paraId="26DBF436" w14:textId="5BB74B1E" w:rsidR="009E62B4" w:rsidRPr="00987A60" w:rsidRDefault="009E62B4" w:rsidP="00183147">
            <w:pPr>
              <w:tabs>
                <w:tab w:val="left" w:pos="4785"/>
              </w:tabs>
              <w:spacing w:after="0"/>
              <w:jc w:val="center"/>
              <w:rPr>
                <w:b/>
                <w:bCs/>
                <w:sz w:val="20"/>
                <w:szCs w:val="20"/>
              </w:rPr>
            </w:pPr>
          </w:p>
        </w:tc>
      </w:tr>
      <w:tr w:rsidR="005E03C5" w14:paraId="4A6DB556" w14:textId="0129729D" w:rsidTr="00987A60">
        <w:trPr>
          <w:trHeight w:val="819"/>
        </w:trPr>
        <w:tc>
          <w:tcPr>
            <w:tcW w:w="1828" w:type="dxa"/>
          </w:tcPr>
          <w:p w14:paraId="5EE60A84" w14:textId="77777777" w:rsidR="00987A60" w:rsidRDefault="00987A60" w:rsidP="00987A60">
            <w:pPr>
              <w:tabs>
                <w:tab w:val="left" w:pos="4785"/>
              </w:tabs>
              <w:rPr>
                <w:b/>
                <w:bCs/>
                <w:sz w:val="20"/>
                <w:szCs w:val="20"/>
              </w:rPr>
            </w:pPr>
          </w:p>
          <w:p w14:paraId="05D7FF67" w14:textId="09ECE5F1" w:rsidR="005E03C5" w:rsidRPr="00987A60" w:rsidRDefault="00987A60" w:rsidP="00987A60">
            <w:pPr>
              <w:tabs>
                <w:tab w:val="left" w:pos="4785"/>
              </w:tabs>
              <w:rPr>
                <w:b/>
                <w:bCs/>
                <w:sz w:val="20"/>
                <w:szCs w:val="20"/>
              </w:rPr>
            </w:pPr>
            <w:r>
              <w:rPr>
                <w:b/>
                <w:bCs/>
                <w:sz w:val="20"/>
                <w:szCs w:val="20"/>
              </w:rPr>
              <w:t xml:space="preserve">             DIAS</w:t>
            </w:r>
          </w:p>
        </w:tc>
        <w:tc>
          <w:tcPr>
            <w:tcW w:w="1565" w:type="dxa"/>
          </w:tcPr>
          <w:p w14:paraId="4F4BBC7D" w14:textId="77777777" w:rsidR="005E03C5" w:rsidRDefault="005E03C5" w:rsidP="00183147">
            <w:pPr>
              <w:tabs>
                <w:tab w:val="left" w:pos="4785"/>
              </w:tabs>
              <w:jc w:val="center"/>
            </w:pPr>
          </w:p>
          <w:p w14:paraId="3EAF641F" w14:textId="3AAE6454" w:rsidR="005E03C5" w:rsidRDefault="005E03C5" w:rsidP="00183147">
            <w:pPr>
              <w:tabs>
                <w:tab w:val="left" w:pos="4785"/>
              </w:tabs>
              <w:jc w:val="center"/>
            </w:pPr>
            <w:r>
              <w:t>66</w:t>
            </w:r>
          </w:p>
        </w:tc>
        <w:tc>
          <w:tcPr>
            <w:tcW w:w="1492" w:type="dxa"/>
          </w:tcPr>
          <w:p w14:paraId="144C78CE" w14:textId="77777777" w:rsidR="005E03C5" w:rsidRDefault="005E03C5" w:rsidP="00183147">
            <w:pPr>
              <w:tabs>
                <w:tab w:val="left" w:pos="4785"/>
              </w:tabs>
              <w:jc w:val="center"/>
            </w:pPr>
          </w:p>
          <w:p w14:paraId="2AD5CEC3" w14:textId="278AD650" w:rsidR="005E03C5" w:rsidRDefault="005E03C5" w:rsidP="00183147">
            <w:pPr>
              <w:tabs>
                <w:tab w:val="left" w:pos="4785"/>
              </w:tabs>
              <w:jc w:val="center"/>
            </w:pPr>
            <w:r>
              <w:t>46</w:t>
            </w:r>
          </w:p>
        </w:tc>
        <w:tc>
          <w:tcPr>
            <w:tcW w:w="1490" w:type="dxa"/>
          </w:tcPr>
          <w:p w14:paraId="1E8A2621" w14:textId="77777777" w:rsidR="005E03C5" w:rsidRDefault="005E03C5" w:rsidP="00183147">
            <w:pPr>
              <w:tabs>
                <w:tab w:val="left" w:pos="4785"/>
              </w:tabs>
              <w:jc w:val="center"/>
            </w:pPr>
          </w:p>
          <w:p w14:paraId="06EFF822" w14:textId="5E592FC3" w:rsidR="005E03C5" w:rsidRDefault="005E03C5" w:rsidP="00183147">
            <w:pPr>
              <w:tabs>
                <w:tab w:val="left" w:pos="4785"/>
              </w:tabs>
              <w:jc w:val="center"/>
            </w:pPr>
            <w:r>
              <w:t>49</w:t>
            </w:r>
          </w:p>
        </w:tc>
        <w:tc>
          <w:tcPr>
            <w:tcW w:w="1454" w:type="dxa"/>
          </w:tcPr>
          <w:p w14:paraId="474CBAA5" w14:textId="77777777" w:rsidR="005E03C5" w:rsidRDefault="005E03C5" w:rsidP="00183147">
            <w:pPr>
              <w:tabs>
                <w:tab w:val="left" w:pos="4785"/>
              </w:tabs>
              <w:jc w:val="center"/>
            </w:pPr>
          </w:p>
          <w:p w14:paraId="5CDC456A" w14:textId="21EF1BAC" w:rsidR="005E03C5" w:rsidRDefault="005E03C5" w:rsidP="00183147">
            <w:pPr>
              <w:tabs>
                <w:tab w:val="left" w:pos="4785"/>
              </w:tabs>
              <w:jc w:val="center"/>
            </w:pPr>
            <w:r>
              <w:t>47</w:t>
            </w:r>
          </w:p>
        </w:tc>
        <w:tc>
          <w:tcPr>
            <w:tcW w:w="1304" w:type="dxa"/>
          </w:tcPr>
          <w:p w14:paraId="0EE14D1A" w14:textId="77777777" w:rsidR="009E62B4" w:rsidRDefault="009E62B4" w:rsidP="00183147">
            <w:pPr>
              <w:tabs>
                <w:tab w:val="left" w:pos="4785"/>
              </w:tabs>
              <w:jc w:val="center"/>
            </w:pPr>
          </w:p>
          <w:p w14:paraId="3DA1E72A" w14:textId="072E1B7D" w:rsidR="005E03C5" w:rsidRDefault="009E62B4" w:rsidP="00183147">
            <w:pPr>
              <w:tabs>
                <w:tab w:val="left" w:pos="4785"/>
              </w:tabs>
              <w:jc w:val="center"/>
            </w:pPr>
            <w:r>
              <w:t>42</w:t>
            </w:r>
          </w:p>
          <w:p w14:paraId="2E1E977A" w14:textId="1F6B6ED8" w:rsidR="009E62B4" w:rsidRDefault="009E62B4" w:rsidP="00183147">
            <w:pPr>
              <w:tabs>
                <w:tab w:val="left" w:pos="4785"/>
              </w:tabs>
              <w:jc w:val="center"/>
            </w:pPr>
          </w:p>
        </w:tc>
      </w:tr>
    </w:tbl>
    <w:p w14:paraId="3A3B3B92" w14:textId="5818DD36" w:rsidR="007B1FF0" w:rsidRDefault="007B1FF0" w:rsidP="002B6BB3">
      <w:pPr>
        <w:tabs>
          <w:tab w:val="left" w:pos="4785"/>
        </w:tabs>
        <w:jc w:val="both"/>
      </w:pPr>
    </w:p>
    <w:p w14:paraId="4CEB45B2" w14:textId="78DD98C6" w:rsidR="00BE5080" w:rsidRDefault="00BE5080" w:rsidP="002B6BB3">
      <w:pPr>
        <w:tabs>
          <w:tab w:val="left" w:pos="4785"/>
        </w:tabs>
        <w:jc w:val="both"/>
      </w:pPr>
    </w:p>
    <w:p w14:paraId="683ADF56" w14:textId="3596C660" w:rsidR="00BE5080" w:rsidRDefault="00BE5080" w:rsidP="002B6BB3">
      <w:pPr>
        <w:tabs>
          <w:tab w:val="left" w:pos="4785"/>
        </w:tabs>
        <w:jc w:val="both"/>
      </w:pPr>
    </w:p>
    <w:p w14:paraId="55C0028F" w14:textId="31353974" w:rsidR="00BE5080" w:rsidRDefault="00BE5080" w:rsidP="00BE5080">
      <w:pPr>
        <w:tabs>
          <w:tab w:val="left" w:pos="4785"/>
        </w:tabs>
        <w:jc w:val="right"/>
      </w:pPr>
      <w:r>
        <w:t>Actualizad</w:t>
      </w:r>
      <w:r w:rsidR="00EE3584">
        <w:t>o</w:t>
      </w:r>
      <w:r>
        <w:t xml:space="preserve"> a </w:t>
      </w:r>
      <w:r w:rsidR="00CF142B">
        <w:t>0</w:t>
      </w:r>
      <w:r w:rsidR="000217C5">
        <w:t>8</w:t>
      </w:r>
      <w:r w:rsidR="00E92FA9">
        <w:t>/04/2024</w:t>
      </w:r>
    </w:p>
    <w:sectPr w:rsidR="00BE508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F3064" w14:textId="77777777" w:rsidR="00305828" w:rsidRDefault="00305828" w:rsidP="002876E2">
      <w:pPr>
        <w:spacing w:after="0" w:line="240" w:lineRule="auto"/>
      </w:pPr>
      <w:r>
        <w:separator/>
      </w:r>
    </w:p>
  </w:endnote>
  <w:endnote w:type="continuationSeparator" w:id="0">
    <w:p w14:paraId="7E5C9859" w14:textId="77777777" w:rsidR="00305828" w:rsidRDefault="00305828" w:rsidP="0028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5F1D3" w14:textId="77777777" w:rsidR="00305828" w:rsidRDefault="00305828" w:rsidP="002876E2">
      <w:pPr>
        <w:spacing w:after="0" w:line="240" w:lineRule="auto"/>
      </w:pPr>
      <w:r>
        <w:separator/>
      </w:r>
    </w:p>
  </w:footnote>
  <w:footnote w:type="continuationSeparator" w:id="0">
    <w:p w14:paraId="4922BE7F" w14:textId="77777777" w:rsidR="00305828" w:rsidRDefault="00305828" w:rsidP="00287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9DEE" w14:textId="77777777" w:rsidR="002876E2" w:rsidRDefault="002876E2">
    <w:pPr>
      <w:pStyle w:val="Encabezado"/>
    </w:pPr>
    <w:r>
      <w:rPr>
        <w:noProof/>
        <w:lang w:eastAsia="es-ES"/>
      </w:rPr>
      <w:drawing>
        <wp:anchor distT="0" distB="0" distL="114300" distR="114300" simplePos="0" relativeHeight="251659264" behindDoc="1" locked="0" layoutInCell="1" allowOverlap="1" wp14:anchorId="01327AE7" wp14:editId="08A1A5DF">
          <wp:simplePos x="0" y="0"/>
          <wp:positionH relativeFrom="page">
            <wp:align>left</wp:align>
          </wp:positionH>
          <wp:positionV relativeFrom="paragraph">
            <wp:posOffset>-628015</wp:posOffset>
          </wp:positionV>
          <wp:extent cx="8629649" cy="12342028"/>
          <wp:effectExtent l="0" t="0" r="635" b="2540"/>
          <wp:wrapNone/>
          <wp:docPr id="2" name="0 Imagen"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 155 Actual.jpg"/>
                  <pic:cNvPicPr/>
                </pic:nvPicPr>
                <pic:blipFill rotWithShape="1">
                  <a:blip r:embed="rId1" cstate="print">
                    <a:extLst>
                      <a:ext uri="{28A0092B-C50C-407E-A947-70E740481C1C}">
                        <a14:useLocalDpi xmlns:a14="http://schemas.microsoft.com/office/drawing/2010/main" val="0"/>
                      </a:ext>
                    </a:extLst>
                  </a:blip>
                  <a:srcRect r="1170"/>
                  <a:stretch/>
                </pic:blipFill>
                <pic:spPr bwMode="auto">
                  <a:xfrm>
                    <a:off x="0" y="0"/>
                    <a:ext cx="8629649" cy="123420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E6849" w14:textId="77777777" w:rsidR="002876E2" w:rsidRDefault="002876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E2"/>
    <w:rsid w:val="00001F52"/>
    <w:rsid w:val="00002A22"/>
    <w:rsid w:val="000109A6"/>
    <w:rsid w:val="000217C5"/>
    <w:rsid w:val="00045B7E"/>
    <w:rsid w:val="00077C83"/>
    <w:rsid w:val="000A2DB3"/>
    <w:rsid w:val="00171A8A"/>
    <w:rsid w:val="00183147"/>
    <w:rsid w:val="0025467B"/>
    <w:rsid w:val="002876E2"/>
    <w:rsid w:val="002B6BB3"/>
    <w:rsid w:val="00305828"/>
    <w:rsid w:val="00332753"/>
    <w:rsid w:val="00356904"/>
    <w:rsid w:val="003B7651"/>
    <w:rsid w:val="003E0D35"/>
    <w:rsid w:val="00426749"/>
    <w:rsid w:val="004E50AF"/>
    <w:rsid w:val="00503C1D"/>
    <w:rsid w:val="00516CD4"/>
    <w:rsid w:val="00521DCB"/>
    <w:rsid w:val="005301A9"/>
    <w:rsid w:val="0058105D"/>
    <w:rsid w:val="005A1C2B"/>
    <w:rsid w:val="005C3EE2"/>
    <w:rsid w:val="005E03C5"/>
    <w:rsid w:val="00606AAC"/>
    <w:rsid w:val="006135BB"/>
    <w:rsid w:val="006B2E03"/>
    <w:rsid w:val="006F4B84"/>
    <w:rsid w:val="00714C34"/>
    <w:rsid w:val="007760CF"/>
    <w:rsid w:val="0078684F"/>
    <w:rsid w:val="007B1FF0"/>
    <w:rsid w:val="00866E32"/>
    <w:rsid w:val="008761AB"/>
    <w:rsid w:val="008E2895"/>
    <w:rsid w:val="009157A3"/>
    <w:rsid w:val="00973C9A"/>
    <w:rsid w:val="00987A60"/>
    <w:rsid w:val="009E48DE"/>
    <w:rsid w:val="009E58AD"/>
    <w:rsid w:val="009E62B4"/>
    <w:rsid w:val="00A408A6"/>
    <w:rsid w:val="00A40A26"/>
    <w:rsid w:val="00A61873"/>
    <w:rsid w:val="00A77D52"/>
    <w:rsid w:val="00AB092C"/>
    <w:rsid w:val="00B152B2"/>
    <w:rsid w:val="00B606D1"/>
    <w:rsid w:val="00B646F4"/>
    <w:rsid w:val="00B84B50"/>
    <w:rsid w:val="00BE5080"/>
    <w:rsid w:val="00BF5B48"/>
    <w:rsid w:val="00C0044B"/>
    <w:rsid w:val="00C37D75"/>
    <w:rsid w:val="00C41E3D"/>
    <w:rsid w:val="00C44202"/>
    <w:rsid w:val="00C86AAF"/>
    <w:rsid w:val="00C9652F"/>
    <w:rsid w:val="00CB2D35"/>
    <w:rsid w:val="00CE05AC"/>
    <w:rsid w:val="00CE0DFE"/>
    <w:rsid w:val="00CF142B"/>
    <w:rsid w:val="00E01FED"/>
    <w:rsid w:val="00E92FA9"/>
    <w:rsid w:val="00EB58F3"/>
    <w:rsid w:val="00EE3584"/>
    <w:rsid w:val="00FC53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3DB1"/>
  <w15:chartTrackingRefBased/>
  <w15:docId w15:val="{A16AB7A5-FDF9-4CB2-A260-E384C27D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6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76E2"/>
  </w:style>
  <w:style w:type="paragraph" w:styleId="Piedepgina">
    <w:name w:val="footer"/>
    <w:basedOn w:val="Normal"/>
    <w:link w:val="PiedepginaCar"/>
    <w:uiPriority w:val="99"/>
    <w:unhideWhenUsed/>
    <w:rsid w:val="002876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559534">
      <w:bodyDiv w:val="1"/>
      <w:marLeft w:val="0"/>
      <w:marRight w:val="0"/>
      <w:marTop w:val="0"/>
      <w:marBottom w:val="0"/>
      <w:divBdr>
        <w:top w:val="none" w:sz="0" w:space="0" w:color="auto"/>
        <w:left w:val="none" w:sz="0" w:space="0" w:color="auto"/>
        <w:bottom w:val="none" w:sz="0" w:space="0" w:color="auto"/>
        <w:right w:val="none" w:sz="0" w:space="0" w:color="auto"/>
      </w:divBdr>
    </w:div>
    <w:div w:id="20332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36D1AECD10AA46917A6AA481E7DDA5" ma:contentTypeVersion="11" ma:contentTypeDescription="Crée un document." ma:contentTypeScope="" ma:versionID="5bb046d28bc5c703034a7a5828d85069">
  <xsd:schema xmlns:xsd="http://www.w3.org/2001/XMLSchema" xmlns:xs="http://www.w3.org/2001/XMLSchema" xmlns:p="http://schemas.microsoft.com/office/2006/metadata/properties" xmlns:ns2="904a4ea3-0b6e-4fdb-9e80-c10ed8a15165" xmlns:ns3="1ac5364a-017f-4a51-bec9-775950893192" targetNamespace="http://schemas.microsoft.com/office/2006/metadata/properties" ma:root="true" ma:fieldsID="bb187a25e9d4a1255c4a1ee94b5ba09e" ns2:_="" ns3:_="">
    <xsd:import namespace="904a4ea3-0b6e-4fdb-9e80-c10ed8a15165"/>
    <xsd:import namespace="1ac5364a-017f-4a51-bec9-7759508931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a4ea3-0b6e-4fdb-9e80-c10ed8a15165"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5364a-017f-4a51-bec9-775950893192"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ipo de conteni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9160B-733B-45D1-BC10-086674373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a4ea3-0b6e-4fdb-9e80-c10ed8a15165"/>
    <ds:schemaRef ds:uri="1ac5364a-017f-4a51-bec9-775950893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1C2DB-7B93-460F-B3FD-E2D56C3A3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0EA5CD-1FBF-45CD-BD34-64032DA61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3404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Erena Sanchez Rodriguez</dc:creator>
  <cp:keywords/>
  <dc:description/>
  <cp:lastModifiedBy>Daniel Macho González</cp:lastModifiedBy>
  <cp:revision>3</cp:revision>
  <cp:lastPrinted>2022-05-31T12:33:00Z</cp:lastPrinted>
  <dcterms:created xsi:type="dcterms:W3CDTF">2024-04-29T08:07:00Z</dcterms:created>
  <dcterms:modified xsi:type="dcterms:W3CDTF">2024-04-29T14:33:00Z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0x0101005F36D1AECD10AA46917A6AA481E7DDA5</vt:lpwstr>
  </property>
</Properties>
</file>